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7F55E3DB" w:rsidR="00BA0AE6" w:rsidRPr="00BA0AE6" w:rsidRDefault="00BA0AE6" w:rsidP="00BA0AE6">
      <w:pPr>
        <w:pStyle w:val="Header"/>
        <w:tabs>
          <w:tab w:val="right" w:pos="9639"/>
        </w:tabs>
        <w:rPr>
          <w:bCs/>
          <w:noProof w:val="0"/>
          <w:sz w:val="24"/>
          <w:szCs w:val="24"/>
        </w:rPr>
      </w:pPr>
      <w:r w:rsidRPr="00BA0AE6">
        <w:rPr>
          <w:bCs/>
          <w:noProof w:val="0"/>
          <w:sz w:val="24"/>
          <w:szCs w:val="24"/>
        </w:rPr>
        <w:t>3GPP TSG</w:t>
      </w:r>
      <w:r w:rsidR="00A25118">
        <w:rPr>
          <w:bCs/>
          <w:noProof w:val="0"/>
          <w:sz w:val="24"/>
          <w:szCs w:val="24"/>
        </w:rPr>
        <w:t>-</w:t>
      </w:r>
      <w:r w:rsidRPr="00BA0AE6">
        <w:rPr>
          <w:bCs/>
          <w:noProof w:val="0"/>
          <w:sz w:val="24"/>
          <w:szCs w:val="24"/>
        </w:rPr>
        <w:t>RAN</w:t>
      </w:r>
      <w:r w:rsidR="00A25118">
        <w:rPr>
          <w:bCs/>
          <w:noProof w:val="0"/>
          <w:sz w:val="24"/>
          <w:szCs w:val="24"/>
        </w:rPr>
        <w:t xml:space="preserve"> WG4 </w:t>
      </w:r>
      <w:r w:rsidRPr="00BA0AE6">
        <w:rPr>
          <w:bCs/>
          <w:noProof w:val="0"/>
          <w:sz w:val="24"/>
          <w:szCs w:val="24"/>
        </w:rPr>
        <w:t>Meeting #</w:t>
      </w:r>
      <w:r w:rsidR="00A25118">
        <w:rPr>
          <w:bCs/>
          <w:noProof w:val="0"/>
          <w:sz w:val="24"/>
          <w:szCs w:val="24"/>
        </w:rPr>
        <w:t>9</w:t>
      </w:r>
      <w:r w:rsidR="00322106">
        <w:rPr>
          <w:bCs/>
          <w:noProof w:val="0"/>
          <w:sz w:val="24"/>
          <w:szCs w:val="24"/>
        </w:rPr>
        <w:t>1</w:t>
      </w:r>
      <w:r w:rsidRPr="00BA0AE6">
        <w:rPr>
          <w:rFonts w:hint="eastAsia"/>
          <w:bCs/>
          <w:noProof w:val="0"/>
          <w:sz w:val="24"/>
          <w:szCs w:val="24"/>
        </w:rPr>
        <w:tab/>
      </w:r>
      <w:r w:rsidR="000A3761" w:rsidRPr="000A3761">
        <w:rPr>
          <w:bCs/>
          <w:noProof w:val="0"/>
          <w:sz w:val="24"/>
          <w:szCs w:val="24"/>
        </w:rPr>
        <w:t>R</w:t>
      </w:r>
      <w:r w:rsidR="00A25118">
        <w:rPr>
          <w:bCs/>
          <w:noProof w:val="0"/>
          <w:sz w:val="24"/>
          <w:szCs w:val="24"/>
        </w:rPr>
        <w:t>4</w:t>
      </w:r>
      <w:r w:rsidR="000A3761" w:rsidRPr="000A3761">
        <w:rPr>
          <w:bCs/>
          <w:noProof w:val="0"/>
          <w:sz w:val="24"/>
          <w:szCs w:val="24"/>
        </w:rPr>
        <w:t>-19</w:t>
      </w:r>
      <w:r w:rsidR="00EB6B7C">
        <w:rPr>
          <w:bCs/>
          <w:noProof w:val="0"/>
          <w:sz w:val="24"/>
          <w:szCs w:val="24"/>
        </w:rPr>
        <w:t>06876</w:t>
      </w:r>
    </w:p>
    <w:p w14:paraId="6816C334" w14:textId="124BD95D" w:rsidR="00F24DF0" w:rsidRPr="00F24DF0" w:rsidRDefault="001D4842" w:rsidP="00F24DF0">
      <w:pPr>
        <w:pStyle w:val="Header"/>
        <w:tabs>
          <w:tab w:val="right" w:pos="9639"/>
        </w:tabs>
        <w:rPr>
          <w:bCs/>
          <w:noProof w:val="0"/>
          <w:sz w:val="24"/>
          <w:szCs w:val="24"/>
        </w:rPr>
      </w:pPr>
      <w:r>
        <w:rPr>
          <w:color w:val="000000"/>
          <w:sz w:val="24"/>
          <w:lang w:val="en-GB" w:eastAsia="zh-CN"/>
        </w:rPr>
        <w:t>Reno</w:t>
      </w:r>
      <w:r w:rsidR="00F24DF0" w:rsidRPr="00F24DF0">
        <w:rPr>
          <w:bCs/>
          <w:noProof w:val="0"/>
          <w:sz w:val="24"/>
          <w:szCs w:val="24"/>
        </w:rPr>
        <w:t xml:space="preserve">, </w:t>
      </w:r>
      <w:r>
        <w:rPr>
          <w:bCs/>
          <w:noProof w:val="0"/>
          <w:sz w:val="24"/>
          <w:szCs w:val="24"/>
        </w:rPr>
        <w:t>Nevada, USA, May</w:t>
      </w:r>
      <w:r w:rsidR="00F24DF0" w:rsidRPr="00F24DF0">
        <w:rPr>
          <w:bCs/>
          <w:noProof w:val="0"/>
          <w:sz w:val="24"/>
          <w:szCs w:val="24"/>
        </w:rPr>
        <w:t xml:space="preserve"> </w:t>
      </w:r>
      <w:r>
        <w:rPr>
          <w:bCs/>
          <w:noProof w:val="0"/>
          <w:sz w:val="24"/>
          <w:szCs w:val="24"/>
        </w:rPr>
        <w:t>13</w:t>
      </w:r>
      <w:r w:rsidR="00F24DF0" w:rsidRPr="00F24DF0">
        <w:rPr>
          <w:bCs/>
          <w:noProof w:val="0"/>
          <w:sz w:val="24"/>
          <w:szCs w:val="24"/>
        </w:rPr>
        <w:t>-</w:t>
      </w:r>
      <w:r w:rsidR="00A25118">
        <w:rPr>
          <w:bCs/>
          <w:noProof w:val="0"/>
          <w:sz w:val="24"/>
          <w:szCs w:val="24"/>
        </w:rPr>
        <w:t>1</w:t>
      </w:r>
      <w:r>
        <w:rPr>
          <w:bCs/>
          <w:noProof w:val="0"/>
          <w:sz w:val="24"/>
          <w:szCs w:val="24"/>
        </w:rPr>
        <w:t>7</w:t>
      </w:r>
      <w:r w:rsidR="00F24DF0" w:rsidRPr="00F24DF0">
        <w:rPr>
          <w:bCs/>
          <w:noProof w:val="0"/>
          <w:sz w:val="24"/>
          <w:szCs w:val="24"/>
        </w:rPr>
        <w:t>, 2019</w:t>
      </w:r>
    </w:p>
    <w:p w14:paraId="5E95391B" w14:textId="1C9076F4" w:rsidR="00BA0AE6" w:rsidRDefault="00BA0AE6" w:rsidP="00CA26CE">
      <w:pPr>
        <w:pStyle w:val="Header"/>
        <w:rPr>
          <w:bCs/>
          <w:noProof w:val="0"/>
          <w:sz w:val="24"/>
          <w:lang w:val="en-GB" w:eastAsia="ja-JP"/>
        </w:rPr>
      </w:pPr>
    </w:p>
    <w:p w14:paraId="3263400A" w14:textId="249C7F06" w:rsidR="00BA0AE6" w:rsidRDefault="00BA0AE6" w:rsidP="00CA26CE">
      <w:pPr>
        <w:pStyle w:val="Header"/>
        <w:rPr>
          <w:bCs/>
          <w:noProof w:val="0"/>
          <w:sz w:val="24"/>
          <w:lang w:val="en-GB" w:eastAsia="ja-JP"/>
        </w:rPr>
      </w:pPr>
    </w:p>
    <w:p w14:paraId="22C1D648" w14:textId="77777777" w:rsidR="00BA0AE6" w:rsidRPr="00850D96" w:rsidRDefault="00BA0AE6" w:rsidP="00CA26CE">
      <w:pPr>
        <w:pStyle w:val="Header"/>
        <w:rPr>
          <w:bCs/>
          <w:noProof w:val="0"/>
          <w:sz w:val="24"/>
          <w:lang w:val="en-GB" w:eastAsia="ja-JP"/>
        </w:rPr>
      </w:pPr>
    </w:p>
    <w:p w14:paraId="30E02941" w14:textId="5EC052CE"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A70B33">
        <w:rPr>
          <w:rFonts w:cs="Arial"/>
          <w:b/>
          <w:bCs/>
          <w:sz w:val="24"/>
        </w:rPr>
        <w:t>6.4.2</w:t>
      </w:r>
    </w:p>
    <w:p w14:paraId="30E02942" w14:textId="2FFED700"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02DE73C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300FF">
        <w:rPr>
          <w:rFonts w:ascii="Arial" w:hAnsi="Arial" w:cs="Arial"/>
          <w:b/>
          <w:bCs/>
          <w:sz w:val="24"/>
          <w:szCs w:val="24"/>
        </w:rPr>
        <w:t>Considerations</w:t>
      </w:r>
      <w:r w:rsidR="00376E3A" w:rsidRPr="00376E3A">
        <w:rPr>
          <w:rFonts w:ascii="Arial" w:hAnsi="Arial" w:cs="Arial"/>
          <w:b/>
          <w:bCs/>
          <w:sz w:val="24"/>
          <w:szCs w:val="24"/>
        </w:rPr>
        <w:t xml:space="preserve"> for potential SAR issues with NR UL + SUL</w:t>
      </w:r>
    </w:p>
    <w:p w14:paraId="30E02944" w14:textId="07BB6D34"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8861CC">
        <w:rPr>
          <w:rFonts w:ascii="Arial" w:hAnsi="Arial" w:cs="Arial"/>
          <w:b/>
          <w:bCs/>
          <w:sz w:val="24"/>
          <w:szCs w:val="24"/>
        </w:rPr>
        <w:t xml:space="preserve">Discussion </w:t>
      </w:r>
      <w:bookmarkStart w:id="0" w:name="_GoBack"/>
      <w:bookmarkEnd w:id="0"/>
    </w:p>
    <w:p w14:paraId="6DDF81FD" w14:textId="77777777" w:rsidR="00255033" w:rsidRPr="00ED1327" w:rsidRDefault="00255033" w:rsidP="00255033">
      <w:pPr>
        <w:pStyle w:val="Heading1"/>
      </w:pPr>
      <w:r w:rsidRPr="0016316A">
        <w:t>Introduction</w:t>
      </w:r>
    </w:p>
    <w:p w14:paraId="64E088E2" w14:textId="13844F1A" w:rsidR="00721EA8" w:rsidRDefault="00A76938" w:rsidP="009C00D3">
      <w:r>
        <w:t>In the last RAN4 meeting it was raised in [1] that there may be potential SAR issues with UL + SUL transmission on FR1</w:t>
      </w:r>
      <w:r w:rsidR="001D522C">
        <w:t xml:space="preserve">, especially for the SUL related band combinations where PC2 UE is allowed for uplink </w:t>
      </w:r>
      <w:proofErr w:type="gramStart"/>
      <w:r w:rsidR="001D522C">
        <w:t xml:space="preserve">transmission </w:t>
      </w:r>
      <w:r>
        <w:t>.</w:t>
      </w:r>
      <w:proofErr w:type="gramEnd"/>
      <w:r>
        <w:t xml:space="preserve"> Number of companies in the last RAN4 meeting expressed the need for studying this issue further. In this contribution we study and discuss the issue further.</w:t>
      </w:r>
    </w:p>
    <w:p w14:paraId="0E57E7E0" w14:textId="415ED33E" w:rsidR="0011091B" w:rsidRDefault="008861CC" w:rsidP="0011091B">
      <w:pPr>
        <w:pStyle w:val="Heading1"/>
        <w:rPr>
          <w:lang w:val="en-US"/>
        </w:rPr>
      </w:pPr>
      <w:r>
        <w:rPr>
          <w:lang w:val="en-US"/>
        </w:rPr>
        <w:t>Discussion</w:t>
      </w:r>
    </w:p>
    <w:p w14:paraId="69A4AED5" w14:textId="77777777" w:rsidR="00447AF5" w:rsidRDefault="001D522C" w:rsidP="00447AF5">
      <w:r>
        <w:t xml:space="preserve">For FR1 maxUplinkDutyCycle-PC2-FR1 is defined for higher UE power class 2 with the values {60%, 70%, 80%, 90%, 100%} and default </w:t>
      </w:r>
      <w:r w:rsidR="00447AF5">
        <w:t xml:space="preserve">value </w:t>
      </w:r>
      <w:r>
        <w:t xml:space="preserve">of 50%. For FR1 also UE </w:t>
      </w:r>
      <w:proofErr w:type="spellStart"/>
      <w:r>
        <w:t>fallback</w:t>
      </w:r>
      <w:proofErr w:type="spellEnd"/>
      <w:r>
        <w:t xml:space="preserve"> behaviour and </w:t>
      </w:r>
      <w:r w:rsidR="00447AF5">
        <w:t xml:space="preserve">minimum </w:t>
      </w:r>
      <w:r>
        <w:t xml:space="preserve">requirements are specified in TS38.101-1 so that the FR1 PC2 UE </w:t>
      </w:r>
      <w:proofErr w:type="spellStart"/>
      <w:r>
        <w:t>fallbacks</w:t>
      </w:r>
      <w:proofErr w:type="spellEnd"/>
      <w:r>
        <w:t xml:space="preserve"> to lower UE power class PC 3 if the percentage of uplink symbols transmitted within a given evaluation period is larger than </w:t>
      </w:r>
      <w:proofErr w:type="spellStart"/>
      <w:r>
        <w:t>than</w:t>
      </w:r>
      <w:proofErr w:type="spellEnd"/>
      <w:r>
        <w:t xml:space="preserve"> the maximum UL duty cycle supported by the UE for FR1 PC2.</w:t>
      </w:r>
      <w:r w:rsidR="00447AF5">
        <w:t xml:space="preserve"> With these mechanisms the UE is able to ensure that it will meet SAR requirements for single carrier UL or also UL CA where simultaneous UL transmission is </w:t>
      </w:r>
      <w:proofErr w:type="gramStart"/>
      <w:r w:rsidR="00447AF5">
        <w:t>used</w:t>
      </w:r>
      <w:proofErr w:type="gramEnd"/>
      <w:r w:rsidR="00447AF5">
        <w:t xml:space="preserve"> and the UE is able to monitor its transmission for the combined UL CA transmission. </w:t>
      </w:r>
    </w:p>
    <w:p w14:paraId="32683779" w14:textId="4A27FB1D" w:rsidR="00DB2474" w:rsidRDefault="00447AF5" w:rsidP="00447AF5">
      <w:pPr>
        <w:rPr>
          <w:lang w:eastAsia="zh-CN"/>
        </w:rPr>
      </w:pPr>
      <w:r>
        <w:t>However, in case of NR UL and SUL uplink it is specified that these two UL transmissions may not occur at the same time. It is also currently specified</w:t>
      </w:r>
      <w:r w:rsidR="00630C8E">
        <w:t xml:space="preserve"> for SUL</w:t>
      </w:r>
      <w:r>
        <w:t xml:space="preserve"> in </w:t>
      </w:r>
      <w:r w:rsidR="00630C8E">
        <w:t>the section 6.2C.1</w:t>
      </w:r>
      <w:r w:rsidR="00630C8E">
        <w:tab/>
        <w:t xml:space="preserve"> of </w:t>
      </w:r>
      <w:r>
        <w:t>TS38.101-1 that “</w:t>
      </w:r>
      <w:r>
        <w:rPr>
          <w:lang w:eastAsia="zh-CN"/>
        </w:rPr>
        <w:t>For single carrier configured transmit power, as the UL carrier and SUL carrier is a same cell, the configured transmit power is specified for each UL carrier in a serving cell. The configured transmit power requirement for serving cell is applied for each UL carrier.” This independent configured transmit power requirement definition for SUL means</w:t>
      </w:r>
      <w:r w:rsidR="00407C21">
        <w:rPr>
          <w:lang w:eastAsia="zh-CN"/>
        </w:rPr>
        <w:t xml:space="preserve"> that UE could be scheduled to transmit more than it </w:t>
      </w:r>
      <w:proofErr w:type="gramStart"/>
      <w:r w:rsidR="00407C21">
        <w:rPr>
          <w:lang w:eastAsia="zh-CN"/>
        </w:rPr>
        <w:t>is capable of doing</w:t>
      </w:r>
      <w:proofErr w:type="gramEnd"/>
      <w:r w:rsidR="00407C21">
        <w:rPr>
          <w:lang w:eastAsia="zh-CN"/>
        </w:rPr>
        <w:t xml:space="preserve"> while still meeting its SAR related requirements. For </w:t>
      </w:r>
      <w:proofErr w:type="gramStart"/>
      <w:r w:rsidR="00407C21">
        <w:rPr>
          <w:lang w:eastAsia="zh-CN"/>
        </w:rPr>
        <w:t>instance</w:t>
      </w:r>
      <w:proofErr w:type="gramEnd"/>
      <w:r w:rsidR="00407C21">
        <w:rPr>
          <w:lang w:eastAsia="zh-CN"/>
        </w:rPr>
        <w:t xml:space="preserve"> when the PC2 UE is designed to meet the SAR requirements with</w:t>
      </w:r>
      <w:r w:rsidR="003E659A">
        <w:rPr>
          <w:lang w:eastAsia="zh-CN"/>
        </w:rPr>
        <w:t xml:space="preserve"> a</w:t>
      </w:r>
      <w:r w:rsidR="00407C21">
        <w:rPr>
          <w:lang w:eastAsia="zh-CN"/>
        </w:rPr>
        <w:t xml:space="preserve"> certain maximum UL duty </w:t>
      </w:r>
      <w:r w:rsidR="003E659A">
        <w:rPr>
          <w:lang w:eastAsia="zh-CN"/>
        </w:rPr>
        <w:t xml:space="preserve">Cycle support, which signalled from the UE to the network in the UE capability </w:t>
      </w:r>
      <w:r w:rsidR="00407C21" w:rsidRPr="003E659A">
        <w:rPr>
          <w:i/>
        </w:rPr>
        <w:t>maxUplinkDutyCycle-PC2-FR1</w:t>
      </w:r>
      <w:r w:rsidR="003E659A">
        <w:t xml:space="preserve">, and P-MPR, this same </w:t>
      </w:r>
      <w:r w:rsidR="003E659A" w:rsidRPr="003E659A">
        <w:rPr>
          <w:i/>
        </w:rPr>
        <w:t>maxUplinkDutyCycle-PC2-FR1</w:t>
      </w:r>
      <w:r w:rsidR="003E659A">
        <w:rPr>
          <w:i/>
        </w:rPr>
        <w:t xml:space="preserve"> </w:t>
      </w:r>
      <w:r w:rsidR="003E659A">
        <w:rPr>
          <w:lang w:eastAsia="zh-CN"/>
        </w:rPr>
        <w:t xml:space="preserve">UE capability is no longer valid when NR UL is combined with NR SUL transmission. </w:t>
      </w:r>
      <w:r w:rsidR="00DB2474">
        <w:rPr>
          <w:lang w:eastAsia="zh-CN"/>
        </w:rPr>
        <w:t xml:space="preserve">Instead the UE would need to be designed for the combined UE NR UL and NR SUL transmissions especially for PC2 UEs to make sure that the UE always meets the SAR requirements </w:t>
      </w:r>
      <w:proofErr w:type="gramStart"/>
      <w:r w:rsidR="00DB2474">
        <w:rPr>
          <w:lang w:eastAsia="zh-CN"/>
        </w:rPr>
        <w:t>and also</w:t>
      </w:r>
      <w:proofErr w:type="gramEnd"/>
      <w:r w:rsidR="00DB2474">
        <w:rPr>
          <w:lang w:eastAsia="zh-CN"/>
        </w:rPr>
        <w:t xml:space="preserve"> follows the network UL scheduling decisions. For this </w:t>
      </w:r>
      <w:proofErr w:type="gramStart"/>
      <w:r w:rsidR="00DB2474">
        <w:rPr>
          <w:lang w:eastAsia="zh-CN"/>
        </w:rPr>
        <w:t>reason</w:t>
      </w:r>
      <w:proofErr w:type="gramEnd"/>
      <w:r w:rsidR="00DB2474">
        <w:rPr>
          <w:lang w:eastAsia="zh-CN"/>
        </w:rPr>
        <w:t xml:space="preserve"> RAN4 should also consider joint UE transmission requirements for NR SUL and NR UL with PC2 UE operations.</w:t>
      </w:r>
    </w:p>
    <w:p w14:paraId="7AD963FE" w14:textId="391B429F" w:rsidR="00D738CD" w:rsidRDefault="00D738CD" w:rsidP="00447AF5">
      <w:pPr>
        <w:rPr>
          <w:lang w:eastAsia="zh-CN"/>
        </w:rPr>
      </w:pPr>
      <w:r>
        <w:rPr>
          <w:lang w:eastAsia="zh-CN"/>
        </w:rPr>
        <w:t>For resolving this potential SAR issue with SUL operations with PC2 UEs we have identified at least the following options listed in</w:t>
      </w:r>
      <w:r w:rsidR="0010065D">
        <w:rPr>
          <w:lang w:eastAsia="zh-CN"/>
        </w:rPr>
        <w:t xml:space="preserve"> </w:t>
      </w:r>
      <w:r w:rsidR="0010065D">
        <w:rPr>
          <w:lang w:eastAsia="zh-CN"/>
        </w:rPr>
        <w:fldChar w:fldCharType="begin"/>
      </w:r>
      <w:r w:rsidR="0010065D">
        <w:rPr>
          <w:lang w:eastAsia="zh-CN"/>
        </w:rPr>
        <w:instrText xml:space="preserve"> REF _Ref7444419 </w:instrText>
      </w:r>
      <w:r w:rsidR="0010065D">
        <w:rPr>
          <w:lang w:eastAsia="zh-CN"/>
        </w:rPr>
        <w:fldChar w:fldCharType="separate"/>
      </w:r>
      <w:r w:rsidR="0010065D">
        <w:t xml:space="preserve">Table </w:t>
      </w:r>
      <w:r w:rsidR="0010065D">
        <w:rPr>
          <w:noProof/>
        </w:rPr>
        <w:t>1</w:t>
      </w:r>
      <w:r w:rsidR="0010065D">
        <w:rPr>
          <w:lang w:eastAsia="zh-CN"/>
        </w:rPr>
        <w:fldChar w:fldCharType="end"/>
      </w:r>
      <w:r>
        <w:rPr>
          <w:lang w:eastAsia="zh-CN"/>
        </w:rPr>
        <w:t xml:space="preserve">. In the table </w:t>
      </w:r>
      <w:r w:rsidR="0010065D">
        <w:rPr>
          <w:lang w:eastAsia="zh-CN"/>
        </w:rPr>
        <w:t xml:space="preserve">initial </w:t>
      </w:r>
      <w:r w:rsidR="00ED66D7">
        <w:rPr>
          <w:lang w:eastAsia="zh-CN"/>
        </w:rPr>
        <w:t xml:space="preserve">pros and cons </w:t>
      </w:r>
      <w:r w:rsidR="0010065D">
        <w:rPr>
          <w:lang w:eastAsia="zh-CN"/>
        </w:rPr>
        <w:t xml:space="preserve">analyses are provided </w:t>
      </w:r>
      <w:r w:rsidR="00ED66D7">
        <w:rPr>
          <w:lang w:eastAsia="zh-CN"/>
        </w:rPr>
        <w:t xml:space="preserve">but further RAN4 studies are still needed </w:t>
      </w:r>
      <w:r w:rsidR="0010065D">
        <w:rPr>
          <w:lang w:eastAsia="zh-CN"/>
        </w:rPr>
        <w:t>before</w:t>
      </w:r>
      <w:r w:rsidR="00ED66D7">
        <w:rPr>
          <w:lang w:eastAsia="zh-CN"/>
        </w:rPr>
        <w:t xml:space="preserve"> deciding the solution(s).</w:t>
      </w:r>
    </w:p>
    <w:p w14:paraId="60BBA417" w14:textId="4B46CAFE" w:rsidR="0010065D" w:rsidRDefault="0010065D" w:rsidP="001D4842">
      <w:pPr>
        <w:pStyle w:val="Caption"/>
        <w:rPr>
          <w:lang w:eastAsia="zh-CN"/>
        </w:rPr>
      </w:pPr>
      <w:bookmarkStart w:id="1" w:name="_Ref7444419"/>
      <w:r>
        <w:t xml:space="preserve">Table </w:t>
      </w:r>
      <w:r>
        <w:fldChar w:fldCharType="begin"/>
      </w:r>
      <w:r>
        <w:instrText xml:space="preserve"> SEQ Table \* ARABIC </w:instrText>
      </w:r>
      <w:r>
        <w:fldChar w:fldCharType="separate"/>
      </w:r>
      <w:r>
        <w:rPr>
          <w:noProof/>
        </w:rPr>
        <w:t>1</w:t>
      </w:r>
      <w:r>
        <w:fldChar w:fldCharType="end"/>
      </w:r>
      <w:bookmarkEnd w:id="1"/>
      <w:r>
        <w:t>: Options for resolving potential SAR issue with NR UL + SUL and PC2 UE</w:t>
      </w:r>
    </w:p>
    <w:tbl>
      <w:tblPr>
        <w:tblStyle w:val="TableGrid"/>
        <w:tblW w:w="0" w:type="auto"/>
        <w:tblLook w:val="04A0" w:firstRow="1" w:lastRow="0" w:firstColumn="1" w:lastColumn="0" w:noHBand="0" w:noVBand="1"/>
      </w:tblPr>
      <w:tblGrid>
        <w:gridCol w:w="983"/>
        <w:gridCol w:w="3294"/>
        <w:gridCol w:w="2664"/>
        <w:gridCol w:w="2688"/>
      </w:tblGrid>
      <w:tr w:rsidR="0010065D" w14:paraId="418F3CE4" w14:textId="77777777" w:rsidTr="001D4842">
        <w:tc>
          <w:tcPr>
            <w:tcW w:w="983" w:type="dxa"/>
          </w:tcPr>
          <w:p w14:paraId="729A5F1A" w14:textId="27F31466" w:rsidR="0010065D" w:rsidRPr="001D4842" w:rsidRDefault="0010065D" w:rsidP="00D738CD">
            <w:pPr>
              <w:rPr>
                <w:b/>
                <w:lang w:val="en-US"/>
              </w:rPr>
            </w:pPr>
            <w:r w:rsidRPr="001D4842">
              <w:rPr>
                <w:b/>
                <w:lang w:val="en-US"/>
              </w:rPr>
              <w:t>Solution</w:t>
            </w:r>
          </w:p>
        </w:tc>
        <w:tc>
          <w:tcPr>
            <w:tcW w:w="3294" w:type="dxa"/>
          </w:tcPr>
          <w:p w14:paraId="273F5338" w14:textId="247141B9" w:rsidR="0010065D" w:rsidRPr="001D4842" w:rsidRDefault="0010065D" w:rsidP="00D738CD">
            <w:pPr>
              <w:rPr>
                <w:b/>
                <w:lang w:val="en-US"/>
              </w:rPr>
            </w:pPr>
            <w:r w:rsidRPr="001D4842">
              <w:rPr>
                <w:b/>
                <w:lang w:val="en-US"/>
              </w:rPr>
              <w:t>Solution description</w:t>
            </w:r>
          </w:p>
        </w:tc>
        <w:tc>
          <w:tcPr>
            <w:tcW w:w="2664" w:type="dxa"/>
          </w:tcPr>
          <w:p w14:paraId="43685F0A" w14:textId="49B2236D" w:rsidR="0010065D" w:rsidRPr="001D4842" w:rsidRDefault="0010065D" w:rsidP="00D738CD">
            <w:pPr>
              <w:rPr>
                <w:b/>
                <w:lang w:val="en-US"/>
              </w:rPr>
            </w:pPr>
            <w:r w:rsidRPr="001D4842">
              <w:rPr>
                <w:b/>
                <w:lang w:val="en-US"/>
              </w:rPr>
              <w:t>Pros</w:t>
            </w:r>
          </w:p>
        </w:tc>
        <w:tc>
          <w:tcPr>
            <w:tcW w:w="2688" w:type="dxa"/>
          </w:tcPr>
          <w:p w14:paraId="6C02C6BD" w14:textId="2A4A3F87" w:rsidR="0010065D" w:rsidRPr="001D4842" w:rsidRDefault="0010065D" w:rsidP="00D738CD">
            <w:pPr>
              <w:rPr>
                <w:b/>
                <w:lang w:val="en-US"/>
              </w:rPr>
            </w:pPr>
            <w:r w:rsidRPr="001D4842">
              <w:rPr>
                <w:b/>
                <w:lang w:val="en-US"/>
              </w:rPr>
              <w:t>Cons</w:t>
            </w:r>
          </w:p>
        </w:tc>
      </w:tr>
      <w:tr w:rsidR="0010065D" w14:paraId="4A1C1558" w14:textId="77777777" w:rsidTr="001D4842">
        <w:tc>
          <w:tcPr>
            <w:tcW w:w="983" w:type="dxa"/>
          </w:tcPr>
          <w:p w14:paraId="2F1FD6F6" w14:textId="66CCB8F3" w:rsidR="0010065D" w:rsidRDefault="0010065D" w:rsidP="00D738CD">
            <w:pPr>
              <w:rPr>
                <w:lang w:val="en-US"/>
              </w:rPr>
            </w:pPr>
            <w:r>
              <w:rPr>
                <w:lang w:val="en-US"/>
              </w:rPr>
              <w:t>Option A</w:t>
            </w:r>
          </w:p>
        </w:tc>
        <w:tc>
          <w:tcPr>
            <w:tcW w:w="3294" w:type="dxa"/>
          </w:tcPr>
          <w:p w14:paraId="738676ED" w14:textId="19B31F97" w:rsidR="0010065D" w:rsidRDefault="0010065D" w:rsidP="00597D0D">
            <w:pPr>
              <w:rPr>
                <w:lang w:val="en-US"/>
              </w:rPr>
            </w:pPr>
            <w:r>
              <w:rPr>
                <w:lang w:val="en-US"/>
              </w:rPr>
              <w:t xml:space="preserve">New </w:t>
            </w:r>
            <w:proofErr w:type="spellStart"/>
            <w:r>
              <w:rPr>
                <w:lang w:val="en-US"/>
              </w:rPr>
              <w:t>m</w:t>
            </w:r>
            <w:r w:rsidRPr="001D4842">
              <w:rPr>
                <w:lang w:val="en-US"/>
              </w:rPr>
              <w:t>axUplinkDutyCycle</w:t>
            </w:r>
            <w:proofErr w:type="spellEnd"/>
            <w:r w:rsidRPr="001D4842">
              <w:rPr>
                <w:lang w:val="en-US"/>
              </w:rPr>
              <w:t xml:space="preserve"> UE capability</w:t>
            </w:r>
            <w:r>
              <w:rPr>
                <w:lang w:val="en-US"/>
              </w:rPr>
              <w:t xml:space="preserve"> signaling is defined for the joint</w:t>
            </w:r>
            <w:r w:rsidRPr="001D4842">
              <w:rPr>
                <w:lang w:val="en-US"/>
              </w:rPr>
              <w:t xml:space="preserve"> NR UL + SUL</w:t>
            </w:r>
            <w:r>
              <w:rPr>
                <w:lang w:val="en-US"/>
              </w:rPr>
              <w:t xml:space="preserve"> operations with PC2 UE. This would enable </w:t>
            </w:r>
            <w:r>
              <w:rPr>
                <w:lang w:eastAsia="zh-CN"/>
              </w:rPr>
              <w:t xml:space="preserve">the UE to inform the network what </w:t>
            </w:r>
            <w:proofErr w:type="spellStart"/>
            <w:r>
              <w:t>maxUplinkDutyCycle</w:t>
            </w:r>
            <w:proofErr w:type="spellEnd"/>
            <w:r>
              <w:t xml:space="preserve"> it can support </w:t>
            </w:r>
            <w:r>
              <w:lastRenderedPageBreak/>
              <w:t>both for PC2 NR UL and SUL while still meeting all the SAR requirements</w:t>
            </w:r>
          </w:p>
        </w:tc>
        <w:tc>
          <w:tcPr>
            <w:tcW w:w="2664" w:type="dxa"/>
          </w:tcPr>
          <w:p w14:paraId="088D60F4" w14:textId="6501355E" w:rsidR="0010065D" w:rsidRDefault="0010065D" w:rsidP="00D738CD">
            <w:pPr>
              <w:rPr>
                <w:lang w:val="en-US"/>
              </w:rPr>
            </w:pPr>
            <w:r>
              <w:rPr>
                <w:lang w:val="en-US"/>
              </w:rPr>
              <w:lastRenderedPageBreak/>
              <w:t xml:space="preserve">With this joint UE </w:t>
            </w:r>
            <w:proofErr w:type="spellStart"/>
            <w:r>
              <w:rPr>
                <w:lang w:val="en-US"/>
              </w:rPr>
              <w:t>m</w:t>
            </w:r>
            <w:r w:rsidRPr="002D604E">
              <w:rPr>
                <w:lang w:val="en-US"/>
              </w:rPr>
              <w:t>axUplinkDutyCycle</w:t>
            </w:r>
            <w:proofErr w:type="spellEnd"/>
            <w:r>
              <w:rPr>
                <w:lang w:val="en-US"/>
              </w:rPr>
              <w:t xml:space="preserve"> capability signaling for PC2 UE with NR UL and SUL it would be possible to schedule UL data both with NR UL and SUL as originally designed. The solution may not </w:t>
            </w:r>
            <w:r>
              <w:rPr>
                <w:lang w:val="en-US"/>
              </w:rPr>
              <w:lastRenderedPageBreak/>
              <w:t>necessarily be changed in the next release</w:t>
            </w:r>
          </w:p>
        </w:tc>
        <w:tc>
          <w:tcPr>
            <w:tcW w:w="2688" w:type="dxa"/>
          </w:tcPr>
          <w:p w14:paraId="05EC022C" w14:textId="4BDB733C" w:rsidR="0010065D" w:rsidRDefault="0010065D" w:rsidP="00D738CD">
            <w:pPr>
              <w:rPr>
                <w:lang w:val="en-US"/>
              </w:rPr>
            </w:pPr>
            <w:r>
              <w:rPr>
                <w:lang w:val="en-US"/>
              </w:rPr>
              <w:lastRenderedPageBreak/>
              <w:t>New RRC UE capability signaling is needed which may not be feasible in Rel-15</w:t>
            </w:r>
          </w:p>
        </w:tc>
      </w:tr>
      <w:tr w:rsidR="0010065D" w14:paraId="787F7162" w14:textId="77777777" w:rsidTr="001D4842">
        <w:tc>
          <w:tcPr>
            <w:tcW w:w="983" w:type="dxa"/>
          </w:tcPr>
          <w:p w14:paraId="326BB620" w14:textId="5C838BA2" w:rsidR="0010065D" w:rsidRDefault="0010065D" w:rsidP="00D738CD">
            <w:pPr>
              <w:rPr>
                <w:lang w:val="en-US"/>
              </w:rPr>
            </w:pPr>
            <w:r>
              <w:rPr>
                <w:lang w:val="en-US"/>
              </w:rPr>
              <w:t>Option B</w:t>
            </w:r>
          </w:p>
        </w:tc>
        <w:tc>
          <w:tcPr>
            <w:tcW w:w="3294" w:type="dxa"/>
          </w:tcPr>
          <w:p w14:paraId="6936A557" w14:textId="0A201990" w:rsidR="0010065D" w:rsidRDefault="0010065D" w:rsidP="00D738CD">
            <w:pPr>
              <w:rPr>
                <w:lang w:val="en-US"/>
              </w:rPr>
            </w:pPr>
            <w:r>
              <w:rPr>
                <w:lang w:val="en-US"/>
              </w:rPr>
              <w:t>In Rel-15 SUL and SUL band combinations are not supported with NR bands where PC2 UEs are supported</w:t>
            </w:r>
          </w:p>
        </w:tc>
        <w:tc>
          <w:tcPr>
            <w:tcW w:w="2664" w:type="dxa"/>
          </w:tcPr>
          <w:p w14:paraId="7071F1E4" w14:textId="27AA489B" w:rsidR="0010065D" w:rsidRDefault="0010065D" w:rsidP="00D738CD">
            <w:pPr>
              <w:rPr>
                <w:lang w:val="en-US"/>
              </w:rPr>
            </w:pPr>
            <w:r>
              <w:rPr>
                <w:lang w:val="en-US"/>
              </w:rPr>
              <w:t xml:space="preserve">Simple solution, which would not create any backwards compatibility issues with Rel-15 UEs and base stations.  </w:t>
            </w:r>
          </w:p>
        </w:tc>
        <w:tc>
          <w:tcPr>
            <w:tcW w:w="2688" w:type="dxa"/>
          </w:tcPr>
          <w:p w14:paraId="2E33137D" w14:textId="20ABC4FE" w:rsidR="0010065D" w:rsidRDefault="0010065D" w:rsidP="00D738CD">
            <w:pPr>
              <w:rPr>
                <w:lang w:val="en-US"/>
              </w:rPr>
            </w:pPr>
            <w:r>
              <w:rPr>
                <w:lang w:val="en-US"/>
              </w:rPr>
              <w:t>SUL is not supported in Rel-15 for the SUL related band combinations, which allow PC2 UEs. Different solution is needed in Rel-16.</w:t>
            </w:r>
          </w:p>
        </w:tc>
      </w:tr>
      <w:tr w:rsidR="0010065D" w14:paraId="625A2B77" w14:textId="77777777" w:rsidTr="001D4842">
        <w:tc>
          <w:tcPr>
            <w:tcW w:w="983" w:type="dxa"/>
          </w:tcPr>
          <w:p w14:paraId="4C2DA7AC" w14:textId="5C9E5FC2" w:rsidR="0010065D" w:rsidRDefault="0010065D" w:rsidP="00D738CD">
            <w:pPr>
              <w:rPr>
                <w:lang w:val="en-US"/>
              </w:rPr>
            </w:pPr>
            <w:r>
              <w:rPr>
                <w:lang w:val="en-US"/>
              </w:rPr>
              <w:t>Option C</w:t>
            </w:r>
          </w:p>
        </w:tc>
        <w:tc>
          <w:tcPr>
            <w:tcW w:w="3294" w:type="dxa"/>
          </w:tcPr>
          <w:p w14:paraId="0E86610E" w14:textId="23170A94" w:rsidR="0010065D" w:rsidRDefault="0010065D" w:rsidP="00597CDD">
            <w:pPr>
              <w:rPr>
                <w:lang w:val="en-US"/>
              </w:rPr>
            </w:pPr>
            <w:r>
              <w:rPr>
                <w:lang w:val="en-US"/>
              </w:rPr>
              <w:t xml:space="preserve">UE transmission requirements like UE configured </w:t>
            </w:r>
            <w:r>
              <w:t xml:space="preserve">transmitted power requirements for SUL are revised for the case of NR UL and SUL for PC2 UE so that the UE is required to consider maxUplinkDutyCycle-PC2-FR1 (indicated for NR UL) when deciding its transmitted power for SUL. </w:t>
            </w:r>
          </w:p>
        </w:tc>
        <w:tc>
          <w:tcPr>
            <w:tcW w:w="2664" w:type="dxa"/>
          </w:tcPr>
          <w:p w14:paraId="54461B52" w14:textId="4A584182" w:rsidR="0010065D" w:rsidRDefault="0010065D" w:rsidP="00D738CD">
            <w:pPr>
              <w:rPr>
                <w:lang w:val="en-US"/>
              </w:rPr>
            </w:pPr>
            <w:r>
              <w:rPr>
                <w:lang w:val="en-US"/>
              </w:rPr>
              <w:t xml:space="preserve">No Rel-15 </w:t>
            </w:r>
            <w:proofErr w:type="spellStart"/>
            <w:r>
              <w:rPr>
                <w:lang w:val="en-US"/>
              </w:rPr>
              <w:t>signalling</w:t>
            </w:r>
            <w:proofErr w:type="spellEnd"/>
            <w:r>
              <w:rPr>
                <w:lang w:val="en-US"/>
              </w:rPr>
              <w:t xml:space="preserve"> changes are needed</w:t>
            </w:r>
          </w:p>
        </w:tc>
        <w:tc>
          <w:tcPr>
            <w:tcW w:w="2688" w:type="dxa"/>
          </w:tcPr>
          <w:p w14:paraId="3F816706" w14:textId="08C4880F" w:rsidR="0010065D" w:rsidRDefault="0010065D" w:rsidP="00D738CD">
            <w:pPr>
              <w:rPr>
                <w:lang w:val="en-US"/>
              </w:rPr>
            </w:pPr>
            <w:r>
              <w:rPr>
                <w:lang w:val="en-US"/>
              </w:rPr>
              <w:t xml:space="preserve">In practice this option is likely to mean that PC2 UE needs often to use large P-MPR for SUL carrier to make sure SAR requirements are always met with the indicated </w:t>
            </w:r>
            <w:r>
              <w:t>maxUplinkDutyCycle-PC2-FR1 UE capability for NR UL carrier. This solution may mean in practice that SUL is not useable or at least beneficial in cases where PC2 UEs are allowed for a given band combinat</w:t>
            </w:r>
            <w:r w:rsidR="00304F63">
              <w:t>i</w:t>
            </w:r>
            <w:r>
              <w:t>on</w:t>
            </w:r>
          </w:p>
        </w:tc>
      </w:tr>
    </w:tbl>
    <w:p w14:paraId="24791D0F" w14:textId="64CD3ACF" w:rsidR="00D738CD" w:rsidRDefault="00D738CD" w:rsidP="00D738CD">
      <w:pPr>
        <w:rPr>
          <w:lang w:val="en-US"/>
        </w:rPr>
      </w:pPr>
    </w:p>
    <w:p w14:paraId="061A990B" w14:textId="7ED0B000" w:rsidR="00C13610" w:rsidRPr="001D4842" w:rsidRDefault="00C13610" w:rsidP="00C13610">
      <w:pPr>
        <w:rPr>
          <w:lang w:val="en-US"/>
        </w:rPr>
      </w:pPr>
      <w:r>
        <w:rPr>
          <w:lang w:val="en-US"/>
        </w:rPr>
        <w:t xml:space="preserve">In [2] potential Rel-16 solutions for resolving potential SAR issues for </w:t>
      </w:r>
      <w:r w:rsidRPr="00C13610">
        <w:t>EN-DC FDD-TDD High Power UE</w:t>
      </w:r>
      <w:r>
        <w:t xml:space="preserve"> are identified. It would be attractive from the system operations perspective if similar Rel-16 solutions would be defined for this SUL + NR UL with PC2 UE and </w:t>
      </w:r>
      <w:r w:rsidRPr="00C13610">
        <w:t xml:space="preserve">EN-DC FDD-TDD </w:t>
      </w:r>
      <w:r>
        <w:t>PC2</w:t>
      </w:r>
      <w:r w:rsidRPr="00C13610">
        <w:t xml:space="preserve"> UE</w:t>
      </w:r>
      <w:r>
        <w:t xml:space="preserve">. However, this is not </w:t>
      </w:r>
      <w:proofErr w:type="gramStart"/>
      <w:r>
        <w:t>sufficient</w:t>
      </w:r>
      <w:proofErr w:type="gramEnd"/>
      <w:r>
        <w:t xml:space="preserve"> for the case of SUL and NR UL with PC2 UE as it is important at least to clarify </w:t>
      </w:r>
      <w:r w:rsidR="00D80FED">
        <w:t xml:space="preserve">in the specification </w:t>
      </w:r>
      <w:r>
        <w:t>what case</w:t>
      </w:r>
      <w:r w:rsidR="00D80FED">
        <w:t>s</w:t>
      </w:r>
      <w:r>
        <w:t xml:space="preserve"> are possible in Rel-15 </w:t>
      </w:r>
      <w:r w:rsidR="00D80FED">
        <w:t xml:space="preserve">if any. </w:t>
      </w:r>
      <w:proofErr w:type="spellStart"/>
      <w:r w:rsidR="00D80FED">
        <w:t>Furhermore</w:t>
      </w:r>
      <w:proofErr w:type="spellEnd"/>
      <w:r w:rsidR="00D80FED">
        <w:t xml:space="preserve">, if some PC2 UE NR UL + SUL cases are supported in Rel-15, it is important to define suitable solutions for always ensuring that the UE can meet its SAR requirements and the network has real understanding of UE’s capabilities e.g. in terms of max UL duty cycle support. </w:t>
      </w:r>
    </w:p>
    <w:p w14:paraId="61A65B7F" w14:textId="77777777" w:rsidR="00D738CD" w:rsidRPr="001D4842" w:rsidRDefault="00D738CD" w:rsidP="00447AF5">
      <w:pPr>
        <w:rPr>
          <w:lang w:val="en-US" w:eastAsia="zh-CN"/>
        </w:rPr>
      </w:pPr>
    </w:p>
    <w:p w14:paraId="643E1F76" w14:textId="77777777" w:rsidR="001D522C" w:rsidRPr="00A76938" w:rsidRDefault="001D522C" w:rsidP="00574BBA">
      <w:pPr>
        <w:tabs>
          <w:tab w:val="num" w:pos="720"/>
          <w:tab w:val="num" w:pos="1440"/>
        </w:tabs>
        <w:rPr>
          <w:lang w:val="en-US"/>
        </w:rPr>
      </w:pPr>
    </w:p>
    <w:p w14:paraId="6ED43D85" w14:textId="3723D19B" w:rsidR="007A49F4" w:rsidRPr="00C03E3F" w:rsidRDefault="00221C9F" w:rsidP="007A49F4">
      <w:pPr>
        <w:pStyle w:val="Heading1"/>
        <w:rPr>
          <w:lang w:val="en-US"/>
        </w:rPr>
      </w:pPr>
      <w:r>
        <w:rPr>
          <w:lang w:val="en-US"/>
        </w:rPr>
        <w:t>Conclusions</w:t>
      </w:r>
    </w:p>
    <w:p w14:paraId="4BEC87CD" w14:textId="742DF8FC" w:rsidR="00304F63" w:rsidRDefault="00304F63" w:rsidP="00304F63">
      <w:r>
        <w:t>In this contribution we have identified different options for resolving potential SAR issues with NR UL + SUL transmissions on FR1 SUL related band combinations where PC2 UEs are allowed. The table below presents different options and their pros and cons.</w:t>
      </w:r>
    </w:p>
    <w:tbl>
      <w:tblPr>
        <w:tblStyle w:val="TableGrid"/>
        <w:tblW w:w="0" w:type="auto"/>
        <w:tblLook w:val="04A0" w:firstRow="1" w:lastRow="0" w:firstColumn="1" w:lastColumn="0" w:noHBand="0" w:noVBand="1"/>
      </w:tblPr>
      <w:tblGrid>
        <w:gridCol w:w="983"/>
        <w:gridCol w:w="3294"/>
        <w:gridCol w:w="2664"/>
        <w:gridCol w:w="2688"/>
      </w:tblGrid>
      <w:tr w:rsidR="00304F63" w:rsidRPr="002D604E" w14:paraId="32593FA1" w14:textId="77777777" w:rsidTr="002D604E">
        <w:tc>
          <w:tcPr>
            <w:tcW w:w="983" w:type="dxa"/>
          </w:tcPr>
          <w:p w14:paraId="7EDAEFDF" w14:textId="77777777" w:rsidR="00304F63" w:rsidRPr="002D604E" w:rsidRDefault="00304F63" w:rsidP="002D604E">
            <w:pPr>
              <w:rPr>
                <w:b/>
                <w:lang w:val="en-US"/>
              </w:rPr>
            </w:pPr>
            <w:r w:rsidRPr="002D604E">
              <w:rPr>
                <w:b/>
                <w:lang w:val="en-US"/>
              </w:rPr>
              <w:t>Solution</w:t>
            </w:r>
          </w:p>
        </w:tc>
        <w:tc>
          <w:tcPr>
            <w:tcW w:w="3294" w:type="dxa"/>
          </w:tcPr>
          <w:p w14:paraId="3031366C" w14:textId="77777777" w:rsidR="00304F63" w:rsidRPr="002D604E" w:rsidRDefault="00304F63" w:rsidP="002D604E">
            <w:pPr>
              <w:rPr>
                <w:b/>
                <w:lang w:val="en-US"/>
              </w:rPr>
            </w:pPr>
            <w:r w:rsidRPr="002D604E">
              <w:rPr>
                <w:b/>
                <w:lang w:val="en-US"/>
              </w:rPr>
              <w:t>Solution description</w:t>
            </w:r>
          </w:p>
        </w:tc>
        <w:tc>
          <w:tcPr>
            <w:tcW w:w="2664" w:type="dxa"/>
          </w:tcPr>
          <w:p w14:paraId="6B01A32D" w14:textId="77777777" w:rsidR="00304F63" w:rsidRPr="002D604E" w:rsidRDefault="00304F63" w:rsidP="002D604E">
            <w:pPr>
              <w:rPr>
                <w:b/>
                <w:lang w:val="en-US"/>
              </w:rPr>
            </w:pPr>
            <w:r w:rsidRPr="002D604E">
              <w:rPr>
                <w:b/>
                <w:lang w:val="en-US"/>
              </w:rPr>
              <w:t>Pros</w:t>
            </w:r>
          </w:p>
        </w:tc>
        <w:tc>
          <w:tcPr>
            <w:tcW w:w="2688" w:type="dxa"/>
          </w:tcPr>
          <w:p w14:paraId="38DDDC4D" w14:textId="77777777" w:rsidR="00304F63" w:rsidRPr="002D604E" w:rsidRDefault="00304F63" w:rsidP="002D604E">
            <w:pPr>
              <w:rPr>
                <w:b/>
                <w:lang w:val="en-US"/>
              </w:rPr>
            </w:pPr>
            <w:r w:rsidRPr="002D604E">
              <w:rPr>
                <w:b/>
                <w:lang w:val="en-US"/>
              </w:rPr>
              <w:t>Cons</w:t>
            </w:r>
          </w:p>
        </w:tc>
      </w:tr>
      <w:tr w:rsidR="00304F63" w14:paraId="09BF24C8" w14:textId="77777777" w:rsidTr="002D604E">
        <w:tc>
          <w:tcPr>
            <w:tcW w:w="983" w:type="dxa"/>
          </w:tcPr>
          <w:p w14:paraId="24EACC2C" w14:textId="77777777" w:rsidR="00304F63" w:rsidRDefault="00304F63" w:rsidP="002D604E">
            <w:pPr>
              <w:rPr>
                <w:lang w:val="en-US"/>
              </w:rPr>
            </w:pPr>
            <w:r>
              <w:rPr>
                <w:lang w:val="en-US"/>
              </w:rPr>
              <w:t>Option A</w:t>
            </w:r>
          </w:p>
        </w:tc>
        <w:tc>
          <w:tcPr>
            <w:tcW w:w="3294" w:type="dxa"/>
          </w:tcPr>
          <w:p w14:paraId="5EA76ECD" w14:textId="77777777" w:rsidR="00304F63" w:rsidRDefault="00304F63" w:rsidP="002D604E">
            <w:pPr>
              <w:rPr>
                <w:lang w:val="en-US"/>
              </w:rPr>
            </w:pPr>
            <w:r>
              <w:rPr>
                <w:lang w:val="en-US"/>
              </w:rPr>
              <w:t xml:space="preserve">New </w:t>
            </w:r>
            <w:proofErr w:type="spellStart"/>
            <w:r>
              <w:rPr>
                <w:lang w:val="en-US"/>
              </w:rPr>
              <w:t>m</w:t>
            </w:r>
            <w:r w:rsidRPr="002D604E">
              <w:rPr>
                <w:lang w:val="en-US"/>
              </w:rPr>
              <w:t>axUplinkDutyCycle</w:t>
            </w:r>
            <w:proofErr w:type="spellEnd"/>
            <w:r w:rsidRPr="002D604E">
              <w:rPr>
                <w:lang w:val="en-US"/>
              </w:rPr>
              <w:t xml:space="preserve"> UE capability</w:t>
            </w:r>
            <w:r>
              <w:rPr>
                <w:lang w:val="en-US"/>
              </w:rPr>
              <w:t xml:space="preserve"> signaling is defined for the joint</w:t>
            </w:r>
            <w:r w:rsidRPr="002D604E">
              <w:rPr>
                <w:lang w:val="en-US"/>
              </w:rPr>
              <w:t xml:space="preserve"> NR UL + SUL</w:t>
            </w:r>
            <w:r>
              <w:rPr>
                <w:lang w:val="en-US"/>
              </w:rPr>
              <w:t xml:space="preserve"> operations with PC2 UE. This would enable </w:t>
            </w:r>
            <w:r>
              <w:rPr>
                <w:lang w:eastAsia="zh-CN"/>
              </w:rPr>
              <w:t xml:space="preserve">the UE to inform the network what </w:t>
            </w:r>
            <w:proofErr w:type="spellStart"/>
            <w:r>
              <w:t>maxUplinkDutyCycle</w:t>
            </w:r>
            <w:proofErr w:type="spellEnd"/>
            <w:r>
              <w:t xml:space="preserve"> it can support both for PC2 NR UL and SUL while still meeting all the SAR requirements</w:t>
            </w:r>
          </w:p>
        </w:tc>
        <w:tc>
          <w:tcPr>
            <w:tcW w:w="2664" w:type="dxa"/>
          </w:tcPr>
          <w:p w14:paraId="58529EDD" w14:textId="77777777" w:rsidR="00304F63" w:rsidRDefault="00304F63" w:rsidP="002D604E">
            <w:pPr>
              <w:rPr>
                <w:lang w:val="en-US"/>
              </w:rPr>
            </w:pPr>
            <w:r>
              <w:rPr>
                <w:lang w:val="en-US"/>
              </w:rPr>
              <w:t xml:space="preserve">With this joint UE </w:t>
            </w:r>
            <w:proofErr w:type="spellStart"/>
            <w:r>
              <w:rPr>
                <w:lang w:val="en-US"/>
              </w:rPr>
              <w:t>m</w:t>
            </w:r>
            <w:r w:rsidRPr="002D604E">
              <w:rPr>
                <w:lang w:val="en-US"/>
              </w:rPr>
              <w:t>axUplinkDutyCycle</w:t>
            </w:r>
            <w:proofErr w:type="spellEnd"/>
            <w:r>
              <w:rPr>
                <w:lang w:val="en-US"/>
              </w:rPr>
              <w:t xml:space="preserve"> capability signaling for PC2 UE with NR UL and SUL it would be possible to schedule UL data both with NR UL and SUL as originally designed. The solution may not necessarily be changed in the next release</w:t>
            </w:r>
          </w:p>
        </w:tc>
        <w:tc>
          <w:tcPr>
            <w:tcW w:w="2688" w:type="dxa"/>
          </w:tcPr>
          <w:p w14:paraId="74A56FCE" w14:textId="77777777" w:rsidR="00304F63" w:rsidRDefault="00304F63" w:rsidP="002D604E">
            <w:pPr>
              <w:rPr>
                <w:lang w:val="en-US"/>
              </w:rPr>
            </w:pPr>
            <w:r>
              <w:rPr>
                <w:lang w:val="en-US"/>
              </w:rPr>
              <w:t>New RRC UE capability signaling is needed which may not be feasible in Rel-15</w:t>
            </w:r>
          </w:p>
        </w:tc>
      </w:tr>
      <w:tr w:rsidR="00304F63" w14:paraId="5778EC6E" w14:textId="77777777" w:rsidTr="002D604E">
        <w:tc>
          <w:tcPr>
            <w:tcW w:w="983" w:type="dxa"/>
          </w:tcPr>
          <w:p w14:paraId="04F2B259" w14:textId="77777777" w:rsidR="00304F63" w:rsidRDefault="00304F63" w:rsidP="002D604E">
            <w:pPr>
              <w:rPr>
                <w:lang w:val="en-US"/>
              </w:rPr>
            </w:pPr>
            <w:r>
              <w:rPr>
                <w:lang w:val="en-US"/>
              </w:rPr>
              <w:t>Option B</w:t>
            </w:r>
          </w:p>
        </w:tc>
        <w:tc>
          <w:tcPr>
            <w:tcW w:w="3294" w:type="dxa"/>
          </w:tcPr>
          <w:p w14:paraId="6DB0C1D1" w14:textId="77777777" w:rsidR="00304F63" w:rsidRDefault="00304F63" w:rsidP="002D604E">
            <w:pPr>
              <w:rPr>
                <w:lang w:val="en-US"/>
              </w:rPr>
            </w:pPr>
            <w:r>
              <w:rPr>
                <w:lang w:val="en-US"/>
              </w:rPr>
              <w:t>In Rel-15 SUL and SUL band combinations are not supported with NR bands where PC2 UEs are supported</w:t>
            </w:r>
          </w:p>
        </w:tc>
        <w:tc>
          <w:tcPr>
            <w:tcW w:w="2664" w:type="dxa"/>
          </w:tcPr>
          <w:p w14:paraId="310865B0" w14:textId="77777777" w:rsidR="00304F63" w:rsidRDefault="00304F63" w:rsidP="002D604E">
            <w:pPr>
              <w:rPr>
                <w:lang w:val="en-US"/>
              </w:rPr>
            </w:pPr>
            <w:r>
              <w:rPr>
                <w:lang w:val="en-US"/>
              </w:rPr>
              <w:t xml:space="preserve">Simple solution, which would not create any backwards compatibility issues with Rel-15 UEs and base stations.  </w:t>
            </w:r>
          </w:p>
        </w:tc>
        <w:tc>
          <w:tcPr>
            <w:tcW w:w="2688" w:type="dxa"/>
          </w:tcPr>
          <w:p w14:paraId="2A31E708" w14:textId="77777777" w:rsidR="00304F63" w:rsidRDefault="00304F63" w:rsidP="002D604E">
            <w:pPr>
              <w:rPr>
                <w:lang w:val="en-US"/>
              </w:rPr>
            </w:pPr>
            <w:r>
              <w:rPr>
                <w:lang w:val="en-US"/>
              </w:rPr>
              <w:t xml:space="preserve">SUL is not supported in Rel-15 for the SUL related band combinations, which allow </w:t>
            </w:r>
            <w:r>
              <w:rPr>
                <w:lang w:val="en-US"/>
              </w:rPr>
              <w:lastRenderedPageBreak/>
              <w:t>PC2 UEs. Different solution is needed in Rel-16.</w:t>
            </w:r>
          </w:p>
        </w:tc>
      </w:tr>
      <w:tr w:rsidR="00304F63" w14:paraId="5CCA1DF4" w14:textId="77777777" w:rsidTr="002D604E">
        <w:tc>
          <w:tcPr>
            <w:tcW w:w="983" w:type="dxa"/>
          </w:tcPr>
          <w:p w14:paraId="55131F96" w14:textId="77777777" w:rsidR="00304F63" w:rsidRDefault="00304F63" w:rsidP="002D604E">
            <w:pPr>
              <w:rPr>
                <w:lang w:val="en-US"/>
              </w:rPr>
            </w:pPr>
            <w:r>
              <w:rPr>
                <w:lang w:val="en-US"/>
              </w:rPr>
              <w:lastRenderedPageBreak/>
              <w:t>Option C</w:t>
            </w:r>
          </w:p>
        </w:tc>
        <w:tc>
          <w:tcPr>
            <w:tcW w:w="3294" w:type="dxa"/>
          </w:tcPr>
          <w:p w14:paraId="59AF9F59" w14:textId="77777777" w:rsidR="00304F63" w:rsidRDefault="00304F63" w:rsidP="002D604E">
            <w:pPr>
              <w:rPr>
                <w:lang w:val="en-US"/>
              </w:rPr>
            </w:pPr>
            <w:r>
              <w:rPr>
                <w:lang w:val="en-US"/>
              </w:rPr>
              <w:t xml:space="preserve">UE transmission requirements like UE configured </w:t>
            </w:r>
            <w:r>
              <w:t xml:space="preserve">transmitted power requirements for SUL are revised for the case of NR UL and SUL for PC2 UE so that the UE is required to consider maxUplinkDutyCycle-PC2-FR1 (indicated for NR UL) when deciding its transmitted power for SUL. </w:t>
            </w:r>
          </w:p>
        </w:tc>
        <w:tc>
          <w:tcPr>
            <w:tcW w:w="2664" w:type="dxa"/>
          </w:tcPr>
          <w:p w14:paraId="4180FBB7" w14:textId="77777777" w:rsidR="00304F63" w:rsidRDefault="00304F63" w:rsidP="002D604E">
            <w:pPr>
              <w:rPr>
                <w:lang w:val="en-US"/>
              </w:rPr>
            </w:pPr>
            <w:r>
              <w:rPr>
                <w:lang w:val="en-US"/>
              </w:rPr>
              <w:t xml:space="preserve">No Rel-15 </w:t>
            </w:r>
            <w:proofErr w:type="spellStart"/>
            <w:r>
              <w:rPr>
                <w:lang w:val="en-US"/>
              </w:rPr>
              <w:t>signalling</w:t>
            </w:r>
            <w:proofErr w:type="spellEnd"/>
            <w:r>
              <w:rPr>
                <w:lang w:val="en-US"/>
              </w:rPr>
              <w:t xml:space="preserve"> changes are needed</w:t>
            </w:r>
          </w:p>
        </w:tc>
        <w:tc>
          <w:tcPr>
            <w:tcW w:w="2688" w:type="dxa"/>
          </w:tcPr>
          <w:p w14:paraId="0C4561EB" w14:textId="77777777" w:rsidR="00304F63" w:rsidRDefault="00304F63" w:rsidP="002D604E">
            <w:pPr>
              <w:rPr>
                <w:lang w:val="en-US"/>
              </w:rPr>
            </w:pPr>
            <w:r>
              <w:rPr>
                <w:lang w:val="en-US"/>
              </w:rPr>
              <w:t xml:space="preserve">In practice this option is likely to mean that PC2 UE needs often to use large P-MPR for SUL carrier to make sure SAR requirements are always met with the indicated </w:t>
            </w:r>
            <w:r>
              <w:t>maxUplinkDutyCycle-PC2-FR1 UE capability for NR UL carrier. This solution may mean in practice that SUL is not useable or at least beneficial in cases where PC2 UEs are allowed for a given band combination</w:t>
            </w:r>
          </w:p>
        </w:tc>
      </w:tr>
    </w:tbl>
    <w:p w14:paraId="55B256C9" w14:textId="50EC1293" w:rsidR="00304F63" w:rsidRDefault="00304F63" w:rsidP="00304F63">
      <w:pPr>
        <w:rPr>
          <w:lang w:val="en-US"/>
        </w:rPr>
      </w:pPr>
    </w:p>
    <w:p w14:paraId="01C7A826" w14:textId="358053C1" w:rsidR="00304F63" w:rsidRPr="002D604E" w:rsidRDefault="00304F63" w:rsidP="00C07B6F">
      <w:pPr>
        <w:rPr>
          <w:lang w:val="en-US"/>
        </w:rPr>
      </w:pPr>
      <w:r>
        <w:t>In our view it is important that RAN4 decides and clarifies in the specifications if NR UL + SUL is supported for PC2 UEs in Rel-15 and if so, specifies suitable solution</w:t>
      </w:r>
      <w:r w:rsidR="00C07B6F">
        <w:t xml:space="preserve"> in Rel-15 for ensuring PC2 UE SAR compliance in case of NR UL and SUL. </w:t>
      </w:r>
    </w:p>
    <w:p w14:paraId="6794D080" w14:textId="4178D702" w:rsidR="00F93346" w:rsidRPr="003300FC" w:rsidRDefault="00C07B6F" w:rsidP="00552705">
      <w:r>
        <w:t xml:space="preserve">In our view for Rel-16 it would be beneficial to consider similar solutions as for </w:t>
      </w:r>
      <w:r w:rsidRPr="00C13610">
        <w:t xml:space="preserve">EN-DC FDD-TDD </w:t>
      </w:r>
      <w:r>
        <w:t>PC2</w:t>
      </w:r>
      <w:r w:rsidRPr="00C13610">
        <w:t xml:space="preserve"> UE</w:t>
      </w:r>
      <w:r>
        <w:t xml:space="preserve">. </w:t>
      </w:r>
    </w:p>
    <w:p w14:paraId="53CD9119" w14:textId="77777777" w:rsidR="00885580" w:rsidRPr="00ED1327" w:rsidRDefault="00885580" w:rsidP="00885580">
      <w:pPr>
        <w:pStyle w:val="Heading1"/>
        <w:numPr>
          <w:ilvl w:val="0"/>
          <w:numId w:val="0"/>
        </w:numPr>
      </w:pPr>
      <w:r>
        <w:t>References</w:t>
      </w:r>
    </w:p>
    <w:p w14:paraId="3E17F82E" w14:textId="131DEC2E" w:rsidR="00073D49" w:rsidRDefault="002140DE" w:rsidP="00073D49">
      <w:r>
        <w:t xml:space="preserve">[1] </w:t>
      </w:r>
      <w:hyperlink r:id="rId13" w:history="1">
        <w:r w:rsidR="00073D49" w:rsidRPr="00073D49">
          <w:t>R4-1904547</w:t>
        </w:r>
      </w:hyperlink>
      <w:r w:rsidR="00073D49">
        <w:t xml:space="preserve">, </w:t>
      </w:r>
      <w:r w:rsidR="00073D49" w:rsidRPr="00073D49">
        <w:t>SAR considerations for UL + SUL in FR1</w:t>
      </w:r>
      <w:r w:rsidR="00073D49">
        <w:t xml:space="preserve">, </w:t>
      </w:r>
      <w:r w:rsidR="00073D49" w:rsidRPr="00073D49">
        <w:t>Sprint Corporation</w:t>
      </w:r>
    </w:p>
    <w:p w14:paraId="7DFA6E68" w14:textId="0614A623" w:rsidR="00A300FF" w:rsidRPr="00073D49" w:rsidRDefault="00A300FF" w:rsidP="00073D49">
      <w:r>
        <w:t xml:space="preserve">[2] </w:t>
      </w:r>
      <w:r w:rsidRPr="001D4842">
        <w:t>R4-1905004</w:t>
      </w:r>
      <w:r>
        <w:t xml:space="preserve">, </w:t>
      </w:r>
      <w:r w:rsidRPr="00A300FF">
        <w:t>WF for EN-DC FDD-TDD High Power UE</w:t>
      </w:r>
      <w:r>
        <w:t xml:space="preserve">, </w:t>
      </w:r>
      <w:r w:rsidRPr="00A300FF">
        <w:t>CHTTL, China Unicom, SGS Wireless</w:t>
      </w:r>
    </w:p>
    <w:p w14:paraId="32E0975B" w14:textId="77777777" w:rsidR="00073D49" w:rsidRPr="008D25CB" w:rsidRDefault="00073D49" w:rsidP="00322106">
      <w:pPr>
        <w:tabs>
          <w:tab w:val="num" w:pos="720"/>
        </w:tabs>
      </w:pPr>
    </w:p>
    <w:p w14:paraId="7FFC7C53" w14:textId="77777777" w:rsidR="002140DE" w:rsidRPr="000D7F54" w:rsidRDefault="002140DE" w:rsidP="002976A4">
      <w:pPr>
        <w:tabs>
          <w:tab w:val="num" w:pos="720"/>
        </w:tabs>
      </w:pPr>
    </w:p>
    <w:sectPr w:rsidR="002140DE" w:rsidRPr="000D7F54" w:rsidSect="007D49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B7606" w14:textId="77777777" w:rsidR="00F07330" w:rsidRDefault="00F07330">
      <w:r>
        <w:separator/>
      </w:r>
    </w:p>
  </w:endnote>
  <w:endnote w:type="continuationSeparator" w:id="0">
    <w:p w14:paraId="616FC7C8" w14:textId="77777777" w:rsidR="00F07330" w:rsidRDefault="00F0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6ABBE" w14:textId="77777777" w:rsidR="00F07330" w:rsidRDefault="00F07330">
      <w:r>
        <w:separator/>
      </w:r>
    </w:p>
  </w:footnote>
  <w:footnote w:type="continuationSeparator" w:id="0">
    <w:p w14:paraId="2736415B" w14:textId="77777777" w:rsidR="00F07330" w:rsidRDefault="00F07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0"/>
  </w:num>
  <w:num w:numId="4">
    <w:abstractNumId w:val="4"/>
  </w:num>
  <w:num w:numId="5">
    <w:abstractNumId w:val="14"/>
  </w:num>
  <w:num w:numId="6">
    <w:abstractNumId w:val="27"/>
  </w:num>
  <w:num w:numId="7">
    <w:abstractNumId w:val="16"/>
  </w:num>
  <w:num w:numId="8">
    <w:abstractNumId w:val="12"/>
  </w:num>
  <w:num w:numId="9">
    <w:abstractNumId w:val="34"/>
  </w:num>
  <w:num w:numId="10">
    <w:abstractNumId w:val="6"/>
  </w:num>
  <w:num w:numId="11">
    <w:abstractNumId w:val="17"/>
  </w:num>
  <w:num w:numId="12">
    <w:abstractNumId w:val="5"/>
  </w:num>
  <w:num w:numId="13">
    <w:abstractNumId w:val="11"/>
  </w:num>
  <w:num w:numId="14">
    <w:abstractNumId w:val="19"/>
  </w:num>
  <w:num w:numId="15">
    <w:abstractNumId w:val="11"/>
  </w:num>
  <w:num w:numId="16">
    <w:abstractNumId w:val="20"/>
  </w:num>
  <w:num w:numId="17">
    <w:abstractNumId w:val="9"/>
  </w:num>
  <w:num w:numId="18">
    <w:abstractNumId w:val="3"/>
  </w:num>
  <w:num w:numId="19">
    <w:abstractNumId w:val="11"/>
  </w:num>
  <w:num w:numId="20">
    <w:abstractNumId w:val="11"/>
  </w:num>
  <w:num w:numId="21">
    <w:abstractNumId w:val="23"/>
  </w:num>
  <w:num w:numId="22">
    <w:abstractNumId w:val="24"/>
  </w:num>
  <w:num w:numId="23">
    <w:abstractNumId w:val="13"/>
  </w:num>
  <w:num w:numId="24">
    <w:abstractNumId w:val="21"/>
  </w:num>
  <w:num w:numId="25">
    <w:abstractNumId w:val="8"/>
  </w:num>
  <w:num w:numId="26">
    <w:abstractNumId w:val="2"/>
  </w:num>
  <w:num w:numId="27">
    <w:abstractNumId w:val="36"/>
  </w:num>
  <w:num w:numId="28">
    <w:abstractNumId w:val="30"/>
  </w:num>
  <w:num w:numId="29">
    <w:abstractNumId w:val="35"/>
  </w:num>
  <w:num w:numId="30">
    <w:abstractNumId w:val="32"/>
  </w:num>
  <w:num w:numId="31">
    <w:abstractNumId w:val="31"/>
  </w:num>
  <w:num w:numId="32">
    <w:abstractNumId w:val="1"/>
  </w:num>
  <w:num w:numId="33">
    <w:abstractNumId w:val="28"/>
  </w:num>
  <w:num w:numId="34">
    <w:abstractNumId w:val="29"/>
  </w:num>
  <w:num w:numId="35">
    <w:abstractNumId w:val="25"/>
  </w:num>
  <w:num w:numId="36">
    <w:abstractNumId w:val="10"/>
  </w:num>
  <w:num w:numId="37">
    <w:abstractNumId w:val="22"/>
  </w:num>
  <w:num w:numId="38">
    <w:abstractNumId w:val="18"/>
  </w:num>
  <w:num w:numId="39">
    <w:abstractNumId w:val="33"/>
  </w:num>
  <w:num w:numId="4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1468"/>
    <w:rsid w:val="00022B8C"/>
    <w:rsid w:val="00023742"/>
    <w:rsid w:val="00023AAA"/>
    <w:rsid w:val="00024AEF"/>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3C7"/>
    <w:rsid w:val="0003767C"/>
    <w:rsid w:val="00040F4F"/>
    <w:rsid w:val="0004132D"/>
    <w:rsid w:val="00041C9D"/>
    <w:rsid w:val="00044CFA"/>
    <w:rsid w:val="000459C7"/>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EC2"/>
    <w:rsid w:val="00081EF3"/>
    <w:rsid w:val="00082154"/>
    <w:rsid w:val="00082D02"/>
    <w:rsid w:val="00083800"/>
    <w:rsid w:val="00084648"/>
    <w:rsid w:val="00084A65"/>
    <w:rsid w:val="0008559A"/>
    <w:rsid w:val="000902C2"/>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226F"/>
    <w:rsid w:val="001C5296"/>
    <w:rsid w:val="001C57E1"/>
    <w:rsid w:val="001C66AC"/>
    <w:rsid w:val="001C674E"/>
    <w:rsid w:val="001C6754"/>
    <w:rsid w:val="001C77F0"/>
    <w:rsid w:val="001D0ABE"/>
    <w:rsid w:val="001D30C9"/>
    <w:rsid w:val="001D32DB"/>
    <w:rsid w:val="001D445B"/>
    <w:rsid w:val="001D46A0"/>
    <w:rsid w:val="001D4842"/>
    <w:rsid w:val="001D50C2"/>
    <w:rsid w:val="001D522C"/>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3177"/>
    <w:rsid w:val="0027455B"/>
    <w:rsid w:val="00275074"/>
    <w:rsid w:val="00275BD1"/>
    <w:rsid w:val="002763E9"/>
    <w:rsid w:val="00276736"/>
    <w:rsid w:val="00276F4E"/>
    <w:rsid w:val="0027717E"/>
    <w:rsid w:val="0027773D"/>
    <w:rsid w:val="002815FA"/>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E3A"/>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0E5"/>
    <w:rsid w:val="003B2E9B"/>
    <w:rsid w:val="003B2F8D"/>
    <w:rsid w:val="003B3524"/>
    <w:rsid w:val="003B3C64"/>
    <w:rsid w:val="003B4FAA"/>
    <w:rsid w:val="003B547A"/>
    <w:rsid w:val="003B6EC0"/>
    <w:rsid w:val="003B6F24"/>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3E0"/>
    <w:rsid w:val="003E1660"/>
    <w:rsid w:val="003E1CD1"/>
    <w:rsid w:val="003E1E4B"/>
    <w:rsid w:val="003E2A2D"/>
    <w:rsid w:val="003E47D4"/>
    <w:rsid w:val="003E50B9"/>
    <w:rsid w:val="003E64A9"/>
    <w:rsid w:val="003E659A"/>
    <w:rsid w:val="003E7905"/>
    <w:rsid w:val="003F0336"/>
    <w:rsid w:val="003F222E"/>
    <w:rsid w:val="003F3FCC"/>
    <w:rsid w:val="003F42C3"/>
    <w:rsid w:val="003F5547"/>
    <w:rsid w:val="003F5C40"/>
    <w:rsid w:val="003F6E12"/>
    <w:rsid w:val="003F6F8B"/>
    <w:rsid w:val="003F75ED"/>
    <w:rsid w:val="003F7B42"/>
    <w:rsid w:val="004002B7"/>
    <w:rsid w:val="00400F31"/>
    <w:rsid w:val="004023BA"/>
    <w:rsid w:val="00406B4D"/>
    <w:rsid w:val="00407C21"/>
    <w:rsid w:val="0041443C"/>
    <w:rsid w:val="0041488F"/>
    <w:rsid w:val="004154F7"/>
    <w:rsid w:val="00416D44"/>
    <w:rsid w:val="004176FF"/>
    <w:rsid w:val="00417A1E"/>
    <w:rsid w:val="00420523"/>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4"/>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0DE5"/>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CDD"/>
    <w:rsid w:val="00597D0D"/>
    <w:rsid w:val="00597ED8"/>
    <w:rsid w:val="005A17AE"/>
    <w:rsid w:val="005A2B20"/>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389E"/>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4F5E"/>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228"/>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776"/>
    <w:rsid w:val="00A344A5"/>
    <w:rsid w:val="00A34647"/>
    <w:rsid w:val="00A346C3"/>
    <w:rsid w:val="00A34D4A"/>
    <w:rsid w:val="00A36155"/>
    <w:rsid w:val="00A3629E"/>
    <w:rsid w:val="00A365AD"/>
    <w:rsid w:val="00A373FE"/>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0B33"/>
    <w:rsid w:val="00A71140"/>
    <w:rsid w:val="00A7205E"/>
    <w:rsid w:val="00A728B3"/>
    <w:rsid w:val="00A74692"/>
    <w:rsid w:val="00A75A52"/>
    <w:rsid w:val="00A7618B"/>
    <w:rsid w:val="00A7640B"/>
    <w:rsid w:val="00A76938"/>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454"/>
    <w:rsid w:val="00B1746F"/>
    <w:rsid w:val="00B20725"/>
    <w:rsid w:val="00B2087E"/>
    <w:rsid w:val="00B20B11"/>
    <w:rsid w:val="00B20B94"/>
    <w:rsid w:val="00B22ABA"/>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613"/>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70084"/>
    <w:rsid w:val="00C7090B"/>
    <w:rsid w:val="00C7235B"/>
    <w:rsid w:val="00C7292A"/>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AD0"/>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4F5D"/>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B7C"/>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330"/>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67EAA"/>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RAN4\TSGRAN4_90bis\Docs\R4-190454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9EF7A91-A40B-41D9-9C4D-560B7148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1357</Words>
  <Characters>6702</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Nokia-user</cp:lastModifiedBy>
  <cp:revision>2</cp:revision>
  <cp:lastPrinted>2016-06-20T11:35:00Z</cp:lastPrinted>
  <dcterms:created xsi:type="dcterms:W3CDTF">2019-05-03T16:53:00Z</dcterms:created>
  <dcterms:modified xsi:type="dcterms:W3CDTF">2019-05-03T16:53:00Z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